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80" w:lineRule="auto"/>
        <w:rPr/>
      </w:pPr>
      <w:r w:rsidDel="00000000" w:rsidR="00000000" w:rsidRPr="00000000">
        <w:rPr/>
        <w:drawing>
          <wp:inline distB="0" distT="0" distL="0" distR="0">
            <wp:extent cx="2143125" cy="962025"/>
            <wp:effectExtent b="0" l="0" r="0" t="0"/>
            <wp:docPr descr="Dupree Financial Group logo" id="1" name="image1.jpg"/>
            <a:graphic>
              <a:graphicData uri="http://schemas.openxmlformats.org/drawingml/2006/picture">
                <pic:pic>
                  <pic:nvPicPr>
                    <pic:cNvPr descr="Dupree Financial Group logo" id="0" name="image1.jpg"/>
                    <pic:cNvPicPr preferRelativeResize="0"/>
                  </pic:nvPicPr>
                  <pic:blipFill>
                    <a:blip r:embed="rId6"/>
                    <a:srcRect b="0" l="0" r="0" t="0"/>
                    <a:stretch>
                      <a:fillRect/>
                    </a:stretch>
                  </pic:blipFill>
                  <pic:spPr>
                    <a:xfrm>
                      <a:off x="0" y="0"/>
                      <a:ext cx="2143125" cy="962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80" w:before="0" w:lineRule="auto"/>
        <w:rPr/>
      </w:pPr>
      <w:r w:rsidDel="00000000" w:rsidR="00000000" w:rsidRPr="00000000">
        <w:rPr>
          <w:rFonts w:ascii="Open Sans" w:cs="Open Sans" w:eastAsia="Open Sans" w:hAnsi="Open Sans"/>
          <w:b w:val="1"/>
          <w:bCs w:val="1"/>
          <w:smallCaps w:val="1"/>
          <w:color w:val="8fc8c9"/>
          <w:sz w:val="18"/>
          <w:szCs w:val="18"/>
          <w:rtl w:val="0"/>
        </w:rPr>
        <w:t xml:space="preserve">THE TOM DUPREE SHOW  |  PODCAST SHOW NOTES</w:t>
      </w:r>
      <w:r w:rsidDel="00000000" w:rsidR="00000000" w:rsidRPr="00000000">
        <w:rPr>
          <w:rtl w:val="0"/>
        </w:rPr>
      </w:r>
    </w:p>
    <w:p w:rsidR="00000000" w:rsidDel="00000000" w:rsidP="00000000" w:rsidRDefault="00000000" w:rsidRPr="00000000" w14:paraId="00000003">
      <w:pPr>
        <w:spacing w:after="100" w:before="80" w:lineRule="auto"/>
        <w:rPr/>
      </w:pPr>
      <w:r w:rsidDel="00000000" w:rsidR="00000000" w:rsidRPr="00000000">
        <w:rPr>
          <w:rFonts w:ascii="Libre Baskerville" w:cs="Libre Baskerville" w:eastAsia="Libre Baskerville" w:hAnsi="Libre Baskerville"/>
          <w:b w:val="1"/>
          <w:bCs w:val="1"/>
          <w:color w:val="006766"/>
          <w:sz w:val="36"/>
          <w:szCs w:val="36"/>
          <w:rtl w:val="0"/>
        </w:rPr>
        <w:t xml:space="preserve">Set It and Forget It — Why Your Target Date Fund May Not Be Ready for Retirement (Even If You Are)</w:t>
      </w:r>
      <w:r w:rsidDel="00000000" w:rsidR="00000000" w:rsidRPr="00000000">
        <w:rPr>
          <w:rtl w:val="0"/>
        </w:rPr>
      </w:r>
    </w:p>
    <w:p w:rsidR="00000000" w:rsidDel="00000000" w:rsidP="00000000" w:rsidRDefault="00000000" w:rsidRPr="00000000" w14:paraId="00000004">
      <w:pPr>
        <w:spacing w:after="100" w:before="0" w:lineRule="auto"/>
        <w:rPr/>
      </w:pPr>
      <w:r w:rsidDel="00000000" w:rsidR="00000000" w:rsidRPr="00000000">
        <w:rPr>
          <w:rFonts w:ascii="Open Sans" w:cs="Open Sans" w:eastAsia="Open Sans" w:hAnsi="Open Sans"/>
          <w:color w:val="323339"/>
          <w:sz w:val="20"/>
          <w:szCs w:val="20"/>
          <w:rtl w:val="0"/>
        </w:rPr>
        <w:t xml:space="preserve">The Tom Dupree Show  |  Dupree Financial Group  |  </w:t>
      </w:r>
      <w:hyperlink r:id="rId7">
        <w:r w:rsidDel="00000000" w:rsidR="00000000" w:rsidRPr="00000000">
          <w:rPr>
            <w:rFonts w:ascii="Open Sans" w:cs="Open Sans" w:eastAsia="Open Sans" w:hAnsi="Open Sans"/>
            <w:color w:val="006766"/>
            <w:sz w:val="20"/>
            <w:szCs w:val="20"/>
            <w:u w:val="single"/>
            <w:rtl w:val="0"/>
          </w:rPr>
          <w:t xml:space="preserve">dupreefinancial.com</w:t>
        </w:r>
      </w:hyperlink>
      <w:r w:rsidDel="00000000" w:rsidR="00000000" w:rsidRPr="00000000">
        <w:rPr>
          <w:rFonts w:ascii="Open Sans" w:cs="Open Sans" w:eastAsia="Open Sans" w:hAnsi="Open Sans"/>
          <w:color w:val="323339"/>
          <w:sz w:val="20"/>
          <w:szCs w:val="20"/>
          <w:rtl w:val="0"/>
        </w:rPr>
        <w:t xml:space="preserve">  |  859-233-0400  |  Air Date: May 9, 2026</w:t>
      </w:r>
      <w:r w:rsidDel="00000000" w:rsidR="00000000" w:rsidRPr="00000000">
        <w:rPr>
          <w:rtl w:val="0"/>
        </w:rPr>
      </w:r>
    </w:p>
    <w:p w:rsidR="00000000" w:rsidDel="00000000" w:rsidP="00000000" w:rsidRDefault="00000000" w:rsidRPr="00000000" w14:paraId="00000005">
      <w:pPr>
        <w:pBdr>
          <w:bottom w:color="8fc8c9" w:space="1" w:sz="4" w:val="single"/>
        </w:pBdr>
        <w:spacing w:after="120" w:before="120" w:lineRule="auto"/>
        <w:rPr/>
      </w:pPr>
      <w:r w:rsidDel="00000000" w:rsidR="00000000" w:rsidRPr="00000000">
        <w:rPr>
          <w:rtl w:val="0"/>
        </w:rPr>
      </w:r>
    </w:p>
    <w:p w:rsidR="00000000" w:rsidDel="00000000" w:rsidP="00000000" w:rsidRDefault="00000000" w:rsidRPr="00000000" w14:paraId="00000006">
      <w:pPr>
        <w:spacing w:after="80" w:before="200" w:lineRule="auto"/>
        <w:rPr/>
      </w:pPr>
      <w:r w:rsidDel="00000000" w:rsidR="00000000" w:rsidRPr="00000000">
        <w:rPr>
          <w:rFonts w:ascii="Lora" w:cs="Lora" w:eastAsia="Lora" w:hAnsi="Lora"/>
          <w:b w:val="1"/>
          <w:bCs w:val="1"/>
          <w:color w:val="006766"/>
          <w:sz w:val="26"/>
          <w:szCs w:val="26"/>
          <w:rtl w:val="0"/>
        </w:rPr>
        <w:t xml:space="preserve">SEO Meta Information</w:t>
      </w:r>
      <w:r w:rsidDel="00000000" w:rsidR="00000000" w:rsidRPr="00000000">
        <w:rPr>
          <w:rtl w:val="0"/>
        </w:rPr>
      </w:r>
    </w:p>
    <w:p w:rsidR="00000000" w:rsidDel="00000000" w:rsidP="00000000" w:rsidRDefault="00000000" w:rsidRPr="00000000" w14:paraId="00000007">
      <w:pPr>
        <w:spacing w:after="40" w:before="60" w:lineRule="auto"/>
        <w:rPr/>
      </w:pPr>
      <w:r w:rsidDel="00000000" w:rsidR="00000000" w:rsidRPr="00000000">
        <w:rPr>
          <w:rFonts w:ascii="Open Sans" w:cs="Open Sans" w:eastAsia="Open Sans" w:hAnsi="Open Sans"/>
          <w:b w:val="1"/>
          <w:bCs w:val="1"/>
          <w:color w:val="323339"/>
          <w:sz w:val="22"/>
          <w:szCs w:val="22"/>
          <w:rtl w:val="0"/>
        </w:rPr>
        <w:t xml:space="preserve">Meta Title: </w:t>
      </w:r>
      <w:r w:rsidDel="00000000" w:rsidR="00000000" w:rsidRPr="00000000">
        <w:rPr>
          <w:rFonts w:ascii="Open Sans" w:cs="Open Sans" w:eastAsia="Open Sans" w:hAnsi="Open Sans"/>
          <w:color w:val="323339"/>
          <w:sz w:val="22"/>
          <w:szCs w:val="22"/>
          <w:rtl w:val="0"/>
        </w:rPr>
        <w:t xml:space="preserve">Why Your Target Date Fund May Fail You in Retirement | Tom Dupree Show</w:t>
      </w:r>
      <w:r w:rsidDel="00000000" w:rsidR="00000000" w:rsidRPr="00000000">
        <w:rPr>
          <w:rtl w:val="0"/>
        </w:rPr>
      </w:r>
    </w:p>
    <w:p w:rsidR="00000000" w:rsidDel="00000000" w:rsidP="00000000" w:rsidRDefault="00000000" w:rsidRPr="00000000" w14:paraId="00000008">
      <w:pPr>
        <w:spacing w:after="60" w:before="40" w:lineRule="auto"/>
        <w:rPr/>
      </w:pPr>
      <w:r w:rsidDel="00000000" w:rsidR="00000000" w:rsidRPr="00000000">
        <w:rPr>
          <w:rFonts w:ascii="Open Sans" w:cs="Open Sans" w:eastAsia="Open Sans" w:hAnsi="Open Sans"/>
          <w:b w:val="1"/>
          <w:bCs w:val="1"/>
          <w:color w:val="323339"/>
          <w:sz w:val="22"/>
          <w:szCs w:val="22"/>
          <w:rtl w:val="0"/>
        </w:rPr>
        <w:t xml:space="preserve">Meta Description: </w:t>
      </w:r>
      <w:r w:rsidDel="00000000" w:rsidR="00000000" w:rsidRPr="00000000">
        <w:rPr>
          <w:rFonts w:ascii="Open Sans" w:cs="Open Sans" w:eastAsia="Open Sans" w:hAnsi="Open Sans"/>
          <w:color w:val="323339"/>
          <w:sz w:val="22"/>
          <w:szCs w:val="22"/>
          <w:rtl w:val="0"/>
        </w:rPr>
        <w:t xml:space="preserve">Tom Dupree and Mike Johnson break down how target date funds work, why they fall short as retirement income vehicles, and what a dividend-focused, actively managed approach does differently. If your 401(k) is on autopilot, this episode is your wake-up call.</w:t>
      </w:r>
      <w:r w:rsidDel="00000000" w:rsidR="00000000" w:rsidRPr="00000000">
        <w:rPr>
          <w:rtl w:val="0"/>
        </w:rPr>
      </w:r>
    </w:p>
    <w:p w:rsidR="00000000" w:rsidDel="00000000" w:rsidP="00000000" w:rsidRDefault="00000000" w:rsidRPr="00000000" w14:paraId="00000009">
      <w:pPr>
        <w:pBdr>
          <w:bottom w:color="8fc8c9" w:space="1" w:sz="4" w:val="single"/>
        </w:pBdr>
        <w:spacing w:after="120" w:before="120" w:lineRule="auto"/>
        <w:rPr/>
      </w:pPr>
      <w:r w:rsidDel="00000000" w:rsidR="00000000" w:rsidRPr="00000000">
        <w:rPr>
          <w:rtl w:val="0"/>
        </w:rPr>
      </w:r>
    </w:p>
    <w:p w:rsidR="00000000" w:rsidDel="00000000" w:rsidP="00000000" w:rsidRDefault="00000000" w:rsidRPr="00000000" w14:paraId="0000000A">
      <w:pPr>
        <w:spacing w:after="80" w:before="200" w:lineRule="auto"/>
        <w:rPr/>
      </w:pPr>
      <w:r w:rsidDel="00000000" w:rsidR="00000000" w:rsidRPr="00000000">
        <w:rPr>
          <w:rFonts w:ascii="Lora" w:cs="Lora" w:eastAsia="Lora" w:hAnsi="Lora"/>
          <w:b w:val="1"/>
          <w:bCs w:val="1"/>
          <w:color w:val="006766"/>
          <w:sz w:val="26"/>
          <w:szCs w:val="26"/>
          <w:rtl w:val="0"/>
        </w:rPr>
        <w:t xml:space="preserve">Episode Description</w:t>
      </w:r>
      <w:r w:rsidDel="00000000" w:rsidR="00000000" w:rsidRPr="00000000">
        <w:rPr>
          <w:rtl w:val="0"/>
        </w:rPr>
      </w:r>
    </w:p>
    <w:p w:rsidR="00000000" w:rsidDel="00000000" w:rsidP="00000000" w:rsidRDefault="00000000" w:rsidRPr="00000000" w14:paraId="0000000B">
      <w:pPr>
        <w:spacing w:after="60" w:before="60" w:lineRule="auto"/>
        <w:rPr/>
      </w:pPr>
      <w:r w:rsidDel="00000000" w:rsidR="00000000" w:rsidRPr="00000000">
        <w:rPr>
          <w:rFonts w:ascii="Open Sans" w:cs="Open Sans" w:eastAsia="Open Sans" w:hAnsi="Open Sans"/>
          <w:color w:val="323339"/>
          <w:sz w:val="22"/>
          <w:szCs w:val="22"/>
          <w:rtl w:val="0"/>
        </w:rPr>
        <w:t xml:space="preserve">Most workers sign up for a target date fund on their first day of employment and never look at it again. That automatic pilot approach may seem sensible during the accumulation years, but it carries real risks for anyone within a decade of retirement — or already there. In this episode, Tom Dupree and Mike Johnson pull apart exactly how target date funds are built, why their so-called "glide path" is driven entirely by a calendar and not by market conditions, and what happened to near-retirees who found themselves heavily allocated to bonds when interest rates surged in 2022.</w:t>
      </w:r>
      <w:r w:rsidDel="00000000" w:rsidR="00000000" w:rsidRPr="00000000">
        <w:rPr>
          <w:rtl w:val="0"/>
        </w:rPr>
      </w:r>
    </w:p>
    <w:p w:rsidR="00000000" w:rsidDel="00000000" w:rsidP="00000000" w:rsidRDefault="00000000" w:rsidRPr="00000000" w14:paraId="0000000C">
      <w:pPr>
        <w:spacing w:after="60" w:before="60" w:lineRule="auto"/>
        <w:rPr/>
      </w:pPr>
      <w:r w:rsidDel="00000000" w:rsidR="00000000" w:rsidRPr="00000000">
        <w:rPr>
          <w:rFonts w:ascii="Open Sans" w:cs="Open Sans" w:eastAsia="Open Sans" w:hAnsi="Open Sans"/>
          <w:color w:val="323339"/>
          <w:sz w:val="22"/>
          <w:szCs w:val="22"/>
          <w:rtl w:val="0"/>
        </w:rPr>
        <w:t xml:space="preserve">The conversation goes further, covering the rise of collective investment trusts inside target date funds, the quiet transition toward embedded annuities that investors rarely notice, and how a fee-hungry structure can keep your money locked in vehicles long past the point of usefulness. The hosts contrast that with their own approach — individually held, dividend-paying companies managed with active judgment, generating real income without forcing retirees to sell shares to pay their bills.</w:t>
      </w:r>
      <w:r w:rsidDel="00000000" w:rsidR="00000000" w:rsidRPr="00000000">
        <w:rPr>
          <w:rtl w:val="0"/>
        </w:rPr>
      </w:r>
    </w:p>
    <w:p w:rsidR="00000000" w:rsidDel="00000000" w:rsidP="00000000" w:rsidRDefault="00000000" w:rsidRPr="00000000" w14:paraId="0000000D">
      <w:pPr>
        <w:spacing w:after="60" w:before="60" w:lineRule="auto"/>
        <w:rPr/>
      </w:pPr>
      <w:r w:rsidDel="00000000" w:rsidR="00000000" w:rsidRPr="00000000">
        <w:rPr>
          <w:rFonts w:ascii="Lora" w:cs="Lora" w:eastAsia="Lora" w:hAnsi="Lora"/>
          <w:i w:val="1"/>
          <w:iCs w:val="1"/>
          <w:color w:val="323339"/>
          <w:sz w:val="22"/>
          <w:szCs w:val="22"/>
          <w:rtl w:val="0"/>
        </w:rPr>
        <w:t xml:space="preserve">"Those dollars represent 30 or 40 years of your life — and they should be actively, proactively managed in the context of your situation."</w:t>
      </w:r>
      <w:r w:rsidDel="00000000" w:rsidR="00000000" w:rsidRPr="00000000">
        <w:rPr>
          <w:rtl w:val="0"/>
        </w:rPr>
      </w:r>
    </w:p>
    <w:p w:rsidR="00000000" w:rsidDel="00000000" w:rsidP="00000000" w:rsidRDefault="00000000" w:rsidRPr="00000000" w14:paraId="0000000E">
      <w:pPr>
        <w:pBdr>
          <w:bottom w:color="8fc8c9" w:space="1" w:sz="4" w:val="single"/>
        </w:pBdr>
        <w:spacing w:after="120" w:before="120" w:lineRule="auto"/>
        <w:rPr/>
      </w:pPr>
      <w:r w:rsidDel="00000000" w:rsidR="00000000" w:rsidRPr="00000000">
        <w:rPr>
          <w:rtl w:val="0"/>
        </w:rPr>
      </w:r>
    </w:p>
    <w:p w:rsidR="00000000" w:rsidDel="00000000" w:rsidP="00000000" w:rsidRDefault="00000000" w:rsidRPr="00000000" w14:paraId="0000000F">
      <w:pPr>
        <w:spacing w:after="80" w:before="200" w:lineRule="auto"/>
        <w:rPr/>
      </w:pPr>
      <w:r w:rsidDel="00000000" w:rsidR="00000000" w:rsidRPr="00000000">
        <w:rPr>
          <w:rFonts w:ascii="Lora" w:cs="Lora" w:eastAsia="Lora" w:hAnsi="Lora"/>
          <w:b w:val="1"/>
          <w:bCs w:val="1"/>
          <w:color w:val="006766"/>
          <w:sz w:val="26"/>
          <w:szCs w:val="26"/>
          <w:rtl w:val="0"/>
        </w:rPr>
        <w:t xml:space="preserve">Topics Covered</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60"/>
        <w:jc w:val="left"/>
        <w:rPr/>
      </w:pP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How target date funds are structured — and why "fund of funds" matters to your costs and transparency</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60"/>
        <w:jc w:val="left"/>
        <w:rPr/>
      </w:pP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The glide path explained: how automatic rebalancing toward bonds is calendar-driven, not market-driven</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60"/>
        <w:jc w:val="left"/>
        <w:rPr/>
      </w:pP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The 2022 cautionary tale: why bond-heavy target date funds got hammered when interest rates spiked</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60"/>
        <w:jc w:val="left"/>
        <w:rPr/>
      </w:pP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Collective investment trusts (CITs) — the newer, less-transparent holdings appearing inside target date funds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60"/>
        <w:jc w:val="left"/>
        <w:rPr/>
      </w:pP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The TIAA-Vanguard annuity partnership and how target date funds are quietly transitioning into annuity products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60"/>
        <w:jc w:val="left"/>
        <w:rPr/>
      </w:pP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Why target date funds are not designed to generate retirement income — and what the difference means in practice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60"/>
        <w:jc w:val="left"/>
        <w:rPr/>
      </w:pP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Dollar cost averaging: a powerful accumulation tool that cannot fix a flawed retirement income strategy</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60"/>
        <w:jc w:val="left"/>
        <w:rPr/>
      </w:pP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In-service rollovers: how workers 59½ and older may be eligible to move money out of a 401(k) now</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60"/>
        <w:jc w:val="left"/>
        <w:rPr/>
      </w:pP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The three-legged stool: income first, growth of income second, price appreciation third</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540" w:right="0" w:hanging="360"/>
        <w:jc w:val="left"/>
        <w:rPr/>
      </w:pP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What an independently managed, dividend-focused portfolio does differently in volatile markets</w:t>
      </w:r>
      <w:r w:rsidDel="00000000" w:rsidR="00000000" w:rsidRPr="00000000">
        <w:rPr>
          <w:rtl w:val="0"/>
        </w:rPr>
      </w:r>
    </w:p>
    <w:p w:rsidR="00000000" w:rsidDel="00000000" w:rsidP="00000000" w:rsidRDefault="00000000" w:rsidRPr="00000000" w14:paraId="0000001A">
      <w:pPr>
        <w:pBdr>
          <w:bottom w:color="8fc8c9" w:space="1" w:sz="4" w:val="single"/>
        </w:pBdr>
        <w:spacing w:after="120" w:before="120" w:lineRule="auto"/>
        <w:rPr/>
      </w:pPr>
      <w:r w:rsidDel="00000000" w:rsidR="00000000" w:rsidRPr="00000000">
        <w:rPr>
          <w:rtl w:val="0"/>
        </w:rPr>
      </w:r>
    </w:p>
    <w:p w:rsidR="00000000" w:rsidDel="00000000" w:rsidP="00000000" w:rsidRDefault="00000000" w:rsidRPr="00000000" w14:paraId="0000001B">
      <w:pPr>
        <w:spacing w:after="80" w:before="200" w:lineRule="auto"/>
        <w:rPr/>
      </w:pPr>
      <w:r w:rsidDel="00000000" w:rsidR="00000000" w:rsidRPr="00000000">
        <w:rPr>
          <w:rFonts w:ascii="Lora" w:cs="Lora" w:eastAsia="Lora" w:hAnsi="Lora"/>
          <w:b w:val="1"/>
          <w:bCs w:val="1"/>
          <w:color w:val="006766"/>
          <w:sz w:val="26"/>
          <w:szCs w:val="26"/>
          <w:rtl w:val="0"/>
        </w:rPr>
        <w:t xml:space="preserve">Key Takeaways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0" w:before="50" w:line="240" w:lineRule="auto"/>
        <w:ind w:left="540" w:right="0" w:hanging="360"/>
        <w:jc w:val="left"/>
        <w:rPr/>
      </w:pPr>
      <w:r w:rsidDel="00000000" w:rsidR="00000000" w:rsidRPr="00000000">
        <w:rPr>
          <w:rFonts w:ascii="Open Sans" w:cs="Open Sans" w:eastAsia="Open Sans" w:hAnsi="Open Sans"/>
          <w:b w:val="1"/>
          <w:bCs w:val="1"/>
          <w:i w:val="0"/>
          <w:iCs w:val="0"/>
          <w:smallCaps w:val="0"/>
          <w:strike w:val="0"/>
          <w:color w:val="006766"/>
          <w:sz w:val="22"/>
          <w:szCs w:val="22"/>
          <w:u w:val="none"/>
          <w:shd w:fill="auto" w:val="clear"/>
          <w:vertAlign w:val="baseline"/>
          <w:rtl w:val="0"/>
        </w:rPr>
        <w:t xml:space="preserve">Target date funds are accumulation tools, not income vehicles.  </w:t>
      </w: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They were designed to get money to a certain point in time, not to generate reliable cash flow through a 20- or 30-year retirement. Treating them as a retirement income plan is a category error.</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0" w:before="50" w:line="240" w:lineRule="auto"/>
        <w:ind w:left="540" w:right="0" w:hanging="360"/>
        <w:jc w:val="left"/>
        <w:rPr/>
      </w:pPr>
      <w:r w:rsidDel="00000000" w:rsidR="00000000" w:rsidRPr="00000000">
        <w:rPr>
          <w:rFonts w:ascii="Open Sans" w:cs="Open Sans" w:eastAsia="Open Sans" w:hAnsi="Open Sans"/>
          <w:b w:val="1"/>
          <w:bCs w:val="1"/>
          <w:i w:val="0"/>
          <w:iCs w:val="0"/>
          <w:smallCaps w:val="0"/>
          <w:strike w:val="0"/>
          <w:color w:val="006766"/>
          <w:sz w:val="22"/>
          <w:szCs w:val="22"/>
          <w:u w:val="none"/>
          <w:shd w:fill="auto" w:val="clear"/>
          <w:vertAlign w:val="baseline"/>
          <w:rtl w:val="0"/>
        </w:rPr>
        <w:t xml:space="preserve">The glide path has no memory of what markets are doing.  </w:t>
      </w: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Rebalancing toward bonds happens on a schedule, not in response to economic conditions. When interest rates are at historic lows and the only logical direction is up, a target date fund will still pour money into bonds because the calendar says so.</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0" w:before="50" w:line="240" w:lineRule="auto"/>
        <w:ind w:left="540" w:right="0" w:hanging="360"/>
        <w:jc w:val="left"/>
        <w:rPr/>
      </w:pPr>
      <w:r w:rsidDel="00000000" w:rsidR="00000000" w:rsidRPr="00000000">
        <w:rPr>
          <w:rFonts w:ascii="Open Sans" w:cs="Open Sans" w:eastAsia="Open Sans" w:hAnsi="Open Sans"/>
          <w:b w:val="1"/>
          <w:bCs w:val="1"/>
          <w:i w:val="0"/>
          <w:iCs w:val="0"/>
          <w:smallCaps w:val="0"/>
          <w:strike w:val="0"/>
          <w:color w:val="006766"/>
          <w:sz w:val="22"/>
          <w:szCs w:val="22"/>
          <w:u w:val="none"/>
          <w:shd w:fill="auto" w:val="clear"/>
          <w:vertAlign w:val="baseline"/>
          <w:rtl w:val="0"/>
        </w:rPr>
        <w:t xml:space="preserve">2022 was a real-world stress test — and many target date funds failed it.  </w:t>
      </w: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Near-retirees who had shifted heavily into bonds watched both their bond funds and their stock funds fall simultaneously. The fund kept running its program. Active management would have allowed a pivot.</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0" w:before="50" w:line="240" w:lineRule="auto"/>
        <w:ind w:left="540" w:right="0" w:hanging="360"/>
        <w:jc w:val="left"/>
        <w:rPr/>
      </w:pPr>
      <w:r w:rsidDel="00000000" w:rsidR="00000000" w:rsidRPr="00000000">
        <w:rPr>
          <w:rFonts w:ascii="Open Sans" w:cs="Open Sans" w:eastAsia="Open Sans" w:hAnsi="Open Sans"/>
          <w:b w:val="1"/>
          <w:bCs w:val="1"/>
          <w:i w:val="0"/>
          <w:iCs w:val="0"/>
          <w:smallCaps w:val="0"/>
          <w:strike w:val="0"/>
          <w:color w:val="006766"/>
          <w:sz w:val="22"/>
          <w:szCs w:val="22"/>
          <w:u w:val="none"/>
          <w:shd w:fill="auto" w:val="clear"/>
          <w:vertAlign w:val="baseline"/>
          <w:rtl w:val="0"/>
        </w:rPr>
        <w:t xml:space="preserve">Transparency is shrinking inside some target date funds.  </w:t>
      </w: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Collective investment trusts are appearing as equity or bond holdings inside these funds, but they are not required to disclose holdings or fees the way traditional mutual funds are. You may own things you literally cannot see.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0" w:before="50" w:line="240" w:lineRule="auto"/>
        <w:ind w:left="540" w:right="0" w:hanging="360"/>
        <w:jc w:val="left"/>
        <w:rPr/>
      </w:pPr>
      <w:r w:rsidDel="00000000" w:rsidR="00000000" w:rsidRPr="00000000">
        <w:rPr>
          <w:rFonts w:ascii="Open Sans" w:cs="Open Sans" w:eastAsia="Open Sans" w:hAnsi="Open Sans"/>
          <w:b w:val="1"/>
          <w:bCs w:val="1"/>
          <w:i w:val="0"/>
          <w:iCs w:val="0"/>
          <w:smallCaps w:val="0"/>
          <w:strike w:val="0"/>
          <w:color w:val="006766"/>
          <w:sz w:val="22"/>
          <w:szCs w:val="22"/>
          <w:u w:val="none"/>
          <w:shd w:fill="auto" w:val="clear"/>
          <w:vertAlign w:val="baseline"/>
          <w:rtl w:val="0"/>
        </w:rPr>
        <w:t xml:space="preserve">Annuity transitions can happen without your active consent.  </w:t>
      </w: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Partnerships like the one between Vanguard and TIAA are beginning to route a portion of target date fund assets into annuity products automatically. Those products can restrict your access to your own money.</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0" w:before="50" w:line="240" w:lineRule="auto"/>
        <w:ind w:left="540" w:right="0" w:hanging="360"/>
        <w:jc w:val="left"/>
        <w:rPr/>
      </w:pPr>
      <w:r w:rsidDel="00000000" w:rsidR="00000000" w:rsidRPr="00000000">
        <w:rPr>
          <w:rFonts w:ascii="Open Sans" w:cs="Open Sans" w:eastAsia="Open Sans" w:hAnsi="Open Sans"/>
          <w:b w:val="1"/>
          <w:bCs w:val="1"/>
          <w:i w:val="0"/>
          <w:iCs w:val="0"/>
          <w:smallCaps w:val="0"/>
          <w:strike w:val="0"/>
          <w:color w:val="006766"/>
          <w:sz w:val="22"/>
          <w:szCs w:val="22"/>
          <w:u w:val="none"/>
          <w:shd w:fill="auto" w:val="clear"/>
          <w:vertAlign w:val="baseline"/>
          <w:rtl w:val="0"/>
        </w:rPr>
        <w:t xml:space="preserve">If you are 59½ or older and still working, you may have an exit option right now.  </w:t>
      </w: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An in-service rollover allows eligible participants to move money out of a 401(k) into a separately managed account — without waiting for retirement. This is one of the most underused tools in retirement planning.</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0" w:before="50" w:line="240" w:lineRule="auto"/>
        <w:ind w:left="540" w:right="0" w:hanging="360"/>
        <w:jc w:val="left"/>
        <w:rPr/>
      </w:pPr>
      <w:r w:rsidDel="00000000" w:rsidR="00000000" w:rsidRPr="00000000">
        <w:rPr>
          <w:rFonts w:ascii="Open Sans" w:cs="Open Sans" w:eastAsia="Open Sans" w:hAnsi="Open Sans"/>
          <w:b w:val="1"/>
          <w:bCs w:val="1"/>
          <w:i w:val="0"/>
          <w:iCs w:val="0"/>
          <w:smallCaps w:val="0"/>
          <w:strike w:val="0"/>
          <w:color w:val="006766"/>
          <w:sz w:val="22"/>
          <w:szCs w:val="22"/>
          <w:u w:val="none"/>
          <w:shd w:fill="auto" w:val="clear"/>
          <w:vertAlign w:val="baseline"/>
          <w:rtl w:val="0"/>
        </w:rPr>
        <w:t xml:space="preserve">Dividend income does not require you to sell anything.  </w:t>
      </w: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A portfolio built around companies with long records of raising dividends generates regular cash flow regardless of what prices are doing on a given day. That is a fundamentally different proposition from selling shares to fund retirement expenses.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0" w:before="50" w:line="240" w:lineRule="auto"/>
        <w:ind w:left="540" w:right="0" w:hanging="360"/>
        <w:jc w:val="left"/>
        <w:rPr/>
      </w:pPr>
      <w:r w:rsidDel="00000000" w:rsidR="00000000" w:rsidRPr="00000000">
        <w:rPr>
          <w:rFonts w:ascii="Open Sans" w:cs="Open Sans" w:eastAsia="Open Sans" w:hAnsi="Open Sans"/>
          <w:b w:val="1"/>
          <w:bCs w:val="1"/>
          <w:i w:val="0"/>
          <w:iCs w:val="0"/>
          <w:smallCaps w:val="0"/>
          <w:strike w:val="0"/>
          <w:color w:val="006766"/>
          <w:sz w:val="22"/>
          <w:szCs w:val="22"/>
          <w:u w:val="none"/>
          <w:shd w:fill="auto" w:val="clear"/>
          <w:vertAlign w:val="baseline"/>
          <w:rtl w:val="0"/>
        </w:rPr>
        <w:t xml:space="preserve">Know what you own — and whether it can do what you need it to do.  </w:t>
      </w:r>
      <w:r w:rsidDel="00000000" w:rsidR="00000000" w:rsidRPr="00000000">
        <w:rPr>
          <w:rFonts w:ascii="Open Sans" w:cs="Open Sans" w:eastAsia="Open Sans" w:hAnsi="Open Sans"/>
          <w:b w:val="0"/>
          <w:bCs w:val="0"/>
          <w:i w:val="0"/>
          <w:iCs w:val="0"/>
          <w:smallCaps w:val="0"/>
          <w:strike w:val="0"/>
          <w:color w:val="323339"/>
          <w:sz w:val="22"/>
          <w:szCs w:val="22"/>
          <w:u w:val="none"/>
          <w:shd w:fill="auto" w:val="clear"/>
          <w:vertAlign w:val="baseline"/>
          <w:rtl w:val="0"/>
        </w:rPr>
        <w:t xml:space="preserve">The single most important question is not what your account balance is. It is whether your current investments can produce the income your retirement requires, in the market environments that actually exist — not just the historical averages a model was built on.</w:t>
      </w:r>
      <w:r w:rsidDel="00000000" w:rsidR="00000000" w:rsidRPr="00000000">
        <w:rPr>
          <w:rtl w:val="0"/>
        </w:rPr>
      </w:r>
    </w:p>
    <w:p w:rsidR="00000000" w:rsidDel="00000000" w:rsidP="00000000" w:rsidRDefault="00000000" w:rsidRPr="00000000" w14:paraId="00000024">
      <w:pPr>
        <w:pBdr>
          <w:bottom w:color="8fc8c9" w:space="1" w:sz="4" w:val="single"/>
        </w:pBdr>
        <w:spacing w:after="120" w:before="120" w:lineRule="auto"/>
        <w:rPr/>
      </w:pPr>
      <w:r w:rsidDel="00000000" w:rsidR="00000000" w:rsidRPr="00000000">
        <w:rPr>
          <w:rtl w:val="0"/>
        </w:rPr>
      </w:r>
    </w:p>
    <w:p w:rsidR="00000000" w:rsidDel="00000000" w:rsidP="00000000" w:rsidRDefault="00000000" w:rsidRPr="00000000" w14:paraId="00000025">
      <w:pPr>
        <w:spacing w:after="80" w:before="200" w:lineRule="auto"/>
        <w:rPr/>
      </w:pPr>
      <w:r w:rsidDel="00000000" w:rsidR="00000000" w:rsidRPr="00000000">
        <w:rPr>
          <w:rFonts w:ascii="Lora" w:cs="Lora" w:eastAsia="Lora" w:hAnsi="Lora"/>
          <w:b w:val="1"/>
          <w:bCs w:val="1"/>
          <w:color w:val="006766"/>
          <w:sz w:val="26"/>
          <w:szCs w:val="26"/>
          <w:rtl w:val="0"/>
        </w:rPr>
        <w:t xml:space="preserve">About The Tom Dupree Show</w:t>
      </w:r>
      <w:r w:rsidDel="00000000" w:rsidR="00000000" w:rsidRPr="00000000">
        <w:rPr>
          <w:rtl w:val="0"/>
        </w:rPr>
      </w:r>
    </w:p>
    <w:p w:rsidR="00000000" w:rsidDel="00000000" w:rsidP="00000000" w:rsidRDefault="00000000" w:rsidRPr="00000000" w14:paraId="00000026">
      <w:pPr>
        <w:spacing w:after="60" w:before="60" w:lineRule="auto"/>
        <w:rPr/>
      </w:pPr>
      <w:r w:rsidDel="00000000" w:rsidR="00000000" w:rsidRPr="00000000">
        <w:rPr>
          <w:rFonts w:ascii="Open Sans" w:cs="Open Sans" w:eastAsia="Open Sans" w:hAnsi="Open Sans"/>
          <w:color w:val="323339"/>
          <w:sz w:val="22"/>
          <w:szCs w:val="22"/>
          <w:rtl w:val="0"/>
        </w:rPr>
        <w:t xml:space="preserve">The Tom Dupree Show is hosted by Tom Dupree, founder of Dupree Financial Group and a 47-year veteran of the investment business. Each episode covers the financial topics that matter most to retirees and those approaching retirement — in plain English, without the Wall Street spin.</w:t>
      </w:r>
      <w:r w:rsidDel="00000000" w:rsidR="00000000" w:rsidRPr="00000000">
        <w:rPr>
          <w:rtl w:val="0"/>
        </w:rPr>
      </w:r>
    </w:p>
    <w:p w:rsidR="00000000" w:rsidDel="00000000" w:rsidP="00000000" w:rsidRDefault="00000000" w:rsidRPr="00000000" w14:paraId="00000027">
      <w:pPr>
        <w:spacing w:after="60" w:before="60" w:lineRule="auto"/>
        <w:rPr/>
      </w:pPr>
      <w:r w:rsidDel="00000000" w:rsidR="00000000" w:rsidRPr="00000000">
        <w:rPr>
          <w:rFonts w:ascii="Open Sans" w:cs="Open Sans" w:eastAsia="Open Sans" w:hAnsi="Open Sans"/>
          <w:color w:val="323339"/>
          <w:sz w:val="22"/>
          <w:szCs w:val="22"/>
          <w:rtl w:val="0"/>
        </w:rPr>
        <w:t xml:space="preserve">Dupree Financial Group is a fee-only, fiduciary Registered Investment Advisory firm based in Lexington, Kentucky. The firm manages separately managed accounts focused on income-generating, dividend-paying portfolios — no products sold, no commissions, no conflicts of interest.</w:t>
      </w:r>
      <w:r w:rsidDel="00000000" w:rsidR="00000000" w:rsidRPr="00000000">
        <w:rPr>
          <w:rtl w:val="0"/>
        </w:rPr>
      </w:r>
    </w:p>
    <w:p w:rsidR="00000000" w:rsidDel="00000000" w:rsidP="00000000" w:rsidRDefault="00000000" w:rsidRPr="00000000" w14:paraId="00000028">
      <w:pPr>
        <w:spacing w:after="60" w:before="60" w:lineRule="auto"/>
        <w:rPr/>
      </w:pPr>
      <w:r w:rsidDel="00000000" w:rsidR="00000000" w:rsidRPr="00000000">
        <w:rPr>
          <w:rFonts w:ascii="Open Sans" w:cs="Open Sans" w:eastAsia="Open Sans" w:hAnsi="Open Sans"/>
          <w:color w:val="323339"/>
          <w:sz w:val="22"/>
          <w:szCs w:val="22"/>
          <w:rtl w:val="0"/>
        </w:rPr>
        <w:t xml:space="preserve">Past episodes are available at </w:t>
      </w:r>
      <w:hyperlink r:id="rId8">
        <w:r w:rsidDel="00000000" w:rsidR="00000000" w:rsidRPr="00000000">
          <w:rPr>
            <w:rFonts w:ascii="Open Sans" w:cs="Open Sans" w:eastAsia="Open Sans" w:hAnsi="Open Sans"/>
            <w:b w:val="1"/>
            <w:bCs w:val="1"/>
            <w:color w:val="006766"/>
            <w:sz w:val="22"/>
            <w:szCs w:val="22"/>
            <w:u w:val="single"/>
            <w:rtl w:val="0"/>
          </w:rPr>
          <w:t xml:space="preserve">dupreefinancial.com</w:t>
        </w:r>
      </w:hyperlink>
      <w:r w:rsidDel="00000000" w:rsidR="00000000" w:rsidRPr="00000000">
        <w:rPr>
          <w:rFonts w:ascii="Open Sans" w:cs="Open Sans" w:eastAsia="Open Sans" w:hAnsi="Open Sans"/>
          <w:color w:val="323339"/>
          <w:sz w:val="22"/>
          <w:szCs w:val="22"/>
          <w:rtl w:val="0"/>
        </w:rPr>
        <w:t xml:space="preserve"> under the Podcast tab.</w:t>
      </w:r>
      <w:r w:rsidDel="00000000" w:rsidR="00000000" w:rsidRPr="00000000">
        <w:rPr>
          <w:rtl w:val="0"/>
        </w:rPr>
      </w:r>
    </w:p>
    <w:p w:rsidR="00000000" w:rsidDel="00000000" w:rsidP="00000000" w:rsidRDefault="00000000" w:rsidRPr="00000000" w14:paraId="00000029">
      <w:pPr>
        <w:pBdr>
          <w:bottom w:color="8fc8c9" w:space="1" w:sz="4" w:val="single"/>
        </w:pBdr>
        <w:spacing w:after="120" w:before="120" w:lineRule="auto"/>
        <w:rPr/>
      </w:pPr>
      <w:r w:rsidDel="00000000" w:rsidR="00000000" w:rsidRPr="00000000">
        <w:rPr>
          <w:rtl w:val="0"/>
        </w:rPr>
      </w:r>
    </w:p>
    <w:p w:rsidR="00000000" w:rsidDel="00000000" w:rsidP="00000000" w:rsidRDefault="00000000" w:rsidRPr="00000000" w14:paraId="0000002A">
      <w:pPr>
        <w:pBdr>
          <w:top w:color="8fc8c9" w:space="6" w:sz="12" w:val="single"/>
          <w:bottom w:color="8fc8c9" w:space="6" w:sz="12" w:val="single"/>
          <w:right w:color="8fc8c9" w:space="6" w:sz="12" w:val="single"/>
        </w:pBdr>
        <w:spacing w:after="60" w:before="140" w:lineRule="auto"/>
        <w:ind w:left="360" w:right="360" w:firstLine="0"/>
        <w:rPr/>
      </w:pPr>
      <w:r w:rsidDel="00000000" w:rsidR="00000000" w:rsidRPr="00000000">
        <w:rPr>
          <w:rFonts w:ascii="Libre Baskerville" w:cs="Libre Baskerville" w:eastAsia="Libre Baskerville" w:hAnsi="Libre Baskerville"/>
          <w:b w:val="1"/>
          <w:bCs w:val="1"/>
          <w:color w:val="006766"/>
          <w:sz w:val="26"/>
          <w:szCs w:val="26"/>
          <w:rtl w:val="0"/>
        </w:rPr>
        <w:t xml:space="preserve">Schedule a Complimentary Portfolio Review</w:t>
      </w:r>
      <w:r w:rsidDel="00000000" w:rsidR="00000000" w:rsidRPr="00000000">
        <w:rPr>
          <w:rtl w:val="0"/>
        </w:rPr>
      </w:r>
    </w:p>
    <w:p w:rsidR="00000000" w:rsidDel="00000000" w:rsidP="00000000" w:rsidRDefault="00000000" w:rsidRPr="00000000" w14:paraId="0000002B">
      <w:pPr>
        <w:pBdr>
          <w:bottom w:color="8fc8c9" w:space="6" w:sz="12" w:val="single"/>
          <w:right w:color="8fc8c9" w:space="6" w:sz="12" w:val="single"/>
        </w:pBdr>
        <w:spacing w:after="60" w:before="0" w:lineRule="auto"/>
        <w:ind w:left="360" w:right="360" w:firstLine="0"/>
        <w:rPr/>
      </w:pPr>
      <w:r w:rsidDel="00000000" w:rsidR="00000000" w:rsidRPr="00000000">
        <w:rPr>
          <w:rFonts w:ascii="Open Sans" w:cs="Open Sans" w:eastAsia="Open Sans" w:hAnsi="Open Sans"/>
          <w:color w:val="323339"/>
          <w:sz w:val="22"/>
          <w:szCs w:val="22"/>
          <w:rtl w:val="0"/>
        </w:rPr>
        <w:t xml:space="preserve">If you're not sure whether your 401(k) or target date fund is built to generate the income your retirement actually requires — we'll take a look. No charge. No pressure. Just an honest conversation about what you own and whether it's working for you.</w:t>
      </w:r>
      <w:r w:rsidDel="00000000" w:rsidR="00000000" w:rsidRPr="00000000">
        <w:rPr>
          <w:rtl w:val="0"/>
        </w:rPr>
      </w:r>
    </w:p>
    <w:p w:rsidR="00000000" w:rsidDel="00000000" w:rsidP="00000000" w:rsidRDefault="00000000" w:rsidRPr="00000000" w14:paraId="0000002C">
      <w:pPr>
        <w:pBdr>
          <w:bottom w:color="8fc8c9" w:space="6" w:sz="12" w:val="single"/>
          <w:right w:color="8fc8c9" w:space="6" w:sz="12" w:val="single"/>
        </w:pBdr>
        <w:spacing w:after="140" w:before="0" w:lineRule="auto"/>
        <w:ind w:left="360" w:right="360" w:firstLine="0"/>
        <w:rPr/>
      </w:pPr>
      <w:r w:rsidDel="00000000" w:rsidR="00000000" w:rsidRPr="00000000">
        <w:rPr>
          <w:rFonts w:ascii="Open Sans" w:cs="Open Sans" w:eastAsia="Open Sans" w:hAnsi="Open Sans"/>
          <w:b w:val="1"/>
          <w:bCs w:val="1"/>
          <w:color w:val="323339"/>
          <w:sz w:val="22"/>
          <w:szCs w:val="22"/>
          <w:rtl w:val="0"/>
        </w:rPr>
        <w:t xml:space="preserve">Call: </w:t>
      </w:r>
      <w:r w:rsidDel="00000000" w:rsidR="00000000" w:rsidRPr="00000000">
        <w:rPr>
          <w:rFonts w:ascii="Open Sans" w:cs="Open Sans" w:eastAsia="Open Sans" w:hAnsi="Open Sans"/>
          <w:b w:val="1"/>
          <w:bCs w:val="1"/>
          <w:color w:val="006766"/>
          <w:sz w:val="22"/>
          <w:szCs w:val="22"/>
          <w:rtl w:val="0"/>
        </w:rPr>
        <w:t xml:space="preserve">859-233-0400</w:t>
      </w:r>
      <w:r w:rsidDel="00000000" w:rsidR="00000000" w:rsidRPr="00000000">
        <w:rPr>
          <w:rFonts w:ascii="Open Sans" w:cs="Open Sans" w:eastAsia="Open Sans" w:hAnsi="Open Sans"/>
          <w:color w:val="8fc8c9"/>
          <w:sz w:val="22"/>
          <w:szCs w:val="22"/>
          <w:rtl w:val="0"/>
        </w:rPr>
        <w:t xml:space="preserve">  |  </w:t>
      </w:r>
      <w:r w:rsidDel="00000000" w:rsidR="00000000" w:rsidRPr="00000000">
        <w:rPr>
          <w:rFonts w:ascii="Open Sans" w:cs="Open Sans" w:eastAsia="Open Sans" w:hAnsi="Open Sans"/>
          <w:b w:val="1"/>
          <w:bCs w:val="1"/>
          <w:color w:val="323339"/>
          <w:sz w:val="22"/>
          <w:szCs w:val="22"/>
          <w:rtl w:val="0"/>
        </w:rPr>
        <w:t xml:space="preserve">Visit: </w:t>
      </w:r>
      <w:hyperlink r:id="rId9">
        <w:r w:rsidDel="00000000" w:rsidR="00000000" w:rsidRPr="00000000">
          <w:rPr>
            <w:rFonts w:ascii="Open Sans" w:cs="Open Sans" w:eastAsia="Open Sans" w:hAnsi="Open Sans"/>
            <w:b w:val="1"/>
            <w:bCs w:val="1"/>
            <w:color w:val="006766"/>
            <w:sz w:val="22"/>
            <w:szCs w:val="22"/>
            <w:u w:val="single"/>
            <w:rtl w:val="0"/>
          </w:rPr>
          <w:t xml:space="preserve">dupreefinancial.com</w:t>
        </w:r>
      </w:hyperlink>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Baskervill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pen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360"/>
      </w:pPr>
      <w:rPr>
        <w:rFonts w:ascii="Open Sans" w:cs="Open Sans" w:eastAsia="Open Sans" w:hAnsi="Open Sans"/>
        <w:color w:val="006766"/>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upreefinancial.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upreefinancial.com" TargetMode="External"/><Relationship Id="rId8" Type="http://schemas.openxmlformats.org/officeDocument/2006/relationships/hyperlink" Target="https://dupreefinancia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11" Type="http://schemas.openxmlformats.org/officeDocument/2006/relationships/font" Target="fonts/OpenSans-italic.ttf"/><Relationship Id="rId10" Type="http://schemas.openxmlformats.org/officeDocument/2006/relationships/font" Target="fonts/OpenSans-bold.ttf"/><Relationship Id="rId12" Type="http://schemas.openxmlformats.org/officeDocument/2006/relationships/font" Target="fonts/OpenSans-boldItalic.ttf"/><Relationship Id="rId9" Type="http://schemas.openxmlformats.org/officeDocument/2006/relationships/font" Target="fonts/OpenSans-regular.ttf"/><Relationship Id="rId5" Type="http://schemas.openxmlformats.org/officeDocument/2006/relationships/font" Target="fonts/LibreBaskerville-regular.ttf"/><Relationship Id="rId6" Type="http://schemas.openxmlformats.org/officeDocument/2006/relationships/font" Target="fonts/LibreBaskerville-bold.ttf"/><Relationship Id="rId7" Type="http://schemas.openxmlformats.org/officeDocument/2006/relationships/font" Target="fonts/LibreBaskerville-italic.ttf"/><Relationship Id="rId8" Type="http://schemas.openxmlformats.org/officeDocument/2006/relationships/font" Target="fonts/LibreBaskervill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